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</w:pPr>
      <w:r>
        <w:rPr>
          <w:rFonts w:ascii="Calibri" w:hAnsi="Calibri"/>
          <w:b/>
          <w:color w:val="BD247F"/>
          <w:sz w:val="18"/>
        </w:rPr>
        <w:t>GOVERNMENT PROCUREMENT CHECKLIST</w:t>
      </w:r>
    </w:p>
    <w:p>
      <w:pPr>
        <w:pStyle w:val="DocumentTitle"/>
      </w:pPr>
      <w:r>
        <w:rPr>
          <w:rFonts w:ascii="Calibri" w:hAnsi="Calibri"/>
          <w:b/>
          <w:color w:val="4B0F4E"/>
          <w:sz w:val="54"/>
        </w:rPr>
        <w:t>Government Sourcing Requirement Intake Checklist</w:t>
      </w:r>
    </w:p>
    <w:p>
      <w:pPr>
        <w:pStyle w:val="Subtitle"/>
      </w:pPr>
      <w:r>
        <w:rPr>
          <w:rFonts w:ascii="Calibri" w:hAnsi="Calibri"/>
          <w:color w:val="5E565D"/>
          <w:sz w:val="27"/>
        </w:rPr>
        <w:t>A practical starting point for a clearer requirement and a more useful market review.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Prepared by: </w:t>
      </w:r>
      <w:r>
        <w:rPr>
          <w:rFonts w:ascii="Calibri" w:hAnsi="Calibri"/>
          <w:color w:val="5E565D"/>
          <w:sz w:val="19"/>
        </w:rPr>
        <w:t>Unparalleled Source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Review status: </w:t>
      </w:r>
      <w:r>
        <w:rPr>
          <w:rFonts w:ascii="Calibri" w:hAnsi="Calibri"/>
          <w:color w:val="5E565D"/>
          <w:sz w:val="19"/>
        </w:rPr>
        <w:t>Reviewed by the Unparalleled Source Procurement Desk</w:t>
      </w:r>
    </w:p>
    <w:p>
      <w:pPr>
        <w:pStyle w:val="Metadata"/>
      </w:pPr>
      <w:r>
        <w:rPr>
          <w:rFonts w:ascii="Calibri" w:hAnsi="Calibri"/>
          <w:b/>
          <w:color w:val="29052D"/>
          <w:sz w:val="19"/>
        </w:rPr>
        <w:t xml:space="preserve">Review date: </w:t>
      </w:r>
      <w:r>
        <w:rPr>
          <w:rFonts w:ascii="Calibri" w:hAnsi="Calibri"/>
          <w:color w:val="5E565D"/>
          <w:sz w:val="19"/>
        </w:rPr>
        <w:t>July 18, 2026</w:t>
      </w:r>
    </w:p>
    <w:p>
      <w:pPr>
        <w:pStyle w:val="Heading1"/>
        <w:keepNext/>
      </w:pPr>
      <w:r>
        <w:t>Purpose</w:t>
      </w:r>
    </w:p>
    <w:p>
      <w:r>
        <w:t>Use this checklist to organize the information a sourcing team, supplier, or delivery partner needs before research and outreach advance.</w:t>
      </w:r>
    </w:p>
    <w:p>
      <w:pPr>
        <w:pStyle w:val="Heading2"/>
        <w:keepNext/>
      </w:pPr>
      <w:r>
        <w:t>How to use this checklist</w:t>
      </w:r>
    </w:p>
    <w:p>
      <w:r>
        <w:t>Complete what is known, name the owner of unanswered items, and attach only materials approved for ordinary sharing. A checked item means the information is documented and available for the next review.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Reviewed by the Unparalleled Source Procurement Desk | July 18, 2026</w:t>
        <w:br/>
        <w:t xml:space="preserve">Questions: </w:t>
      </w:r>
      <w:hyperlink r:id="rId13">
        <w:r>
          <w:rPr>
            <w:color w:val="4B0F4E"/>
            <w:u w:val="single"/>
            <w:rFonts w:ascii="Calibri" w:hAnsi="Calibri"/>
          </w:rPr>
          <w:t>unps@unparalleledsource.com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4">
        <w:r>
          <w:rPr>
            <w:color w:val="4B0F4E"/>
            <w:u w:val="single"/>
            <w:rFonts w:ascii="Calibri" w:hAnsi="Calibri"/>
          </w:rPr>
          <w:t>267-206-8170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5">
        <w:r>
          <w:rPr>
            <w:color w:val="4B0F4E"/>
            <w:u w:val="single"/>
            <w:rFonts w:ascii="Calibri" w:hAnsi="Calibri"/>
          </w:rPr>
          <w:t>Government Procurement</w:t>
        </w:r>
      </w:hyperlink>
    </w:p>
    <w:p>
      <w:pPr>
        <w:pStyle w:val="PrivacyNote"/>
      </w:pPr>
      <w:r>
        <w:rPr>
          <w:rFonts w:ascii="Calibri" w:hAnsi="Calibri"/>
          <w:b/>
          <w:color w:val="29052D"/>
          <w:sz w:val="18"/>
        </w:rPr>
        <w:t>Privacy note: Do not include controlled, confidential, export-restricted, health-sensitive, financial-account, or procurement-sensitive information in ordinary website or email submissions.</w:t>
      </w:r>
    </w:p>
    <w:p>
      <w:pPr>
        <w:pStyle w:val="Heading2"/>
        <w:keepNext/>
      </w:pPr>
      <w:r>
        <w:t>1. Requirement basics</w:t>
      </w:r>
    </w:p>
    <w:p>
      <w:pPr>
        <w:keepNext/>
      </w:pPr>
      <w:r>
        <w:t>State the need in terms a new reviewer can understand.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 short requirement name and the organization or program using it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business or public-service need is stated before a preferred product or provider.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 requirement owner and a decision contact are named.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current stage - early research, budget planning, active sourcing, or response review - is recorded.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2. Desired outcome</w:t>
      </w:r>
    </w:p>
    <w:p>
      <w:pPr>
        <w:keepNext/>
      </w:pPr>
      <w:r>
        <w:t>Describe the result, not only the item or labor category.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intended operational, service, educational, or community outcome is clear.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Measures of an acceptable result are recorded where they are known.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Required versus preferred outcomes are separated.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3. Scope and quantities</w:t>
      </w:r>
    </w:p>
    <w:p>
      <w:pPr>
        <w:keepNext/>
      </w:pPr>
      <w:r>
        <w:t>Define what must be supplied, performed, installed, supported, or coordinated.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Products, services, tasks, interfaces, and owner-furnished items are listed.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Quantities, units of measure, option quantities, and expected usage are stated.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Known dependencies, customer responsibilities, and excluded work are identified.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Acceptance, testing, training, warranty, or support needs are included where applicable.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4. Schedule and location</w:t>
      </w:r>
    </w:p>
    <w:p>
      <w:pPr>
        <w:keepNext/>
      </w:pPr>
      <w:r>
        <w:t>Make timing and place-of-performance constraints visible.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Required delivery, mobilization, performance, and completion dates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Delivery or performance locations, access limits, and operating hours are listed.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Lead-time assumptions, milestones, renewal periods, and schedule flexibility are stated.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5. Budget and funding boundaries</w:t>
      </w:r>
    </w:p>
    <w:p>
      <w:pPr>
        <w:keepNext/>
      </w:pPr>
      <w:r>
        <w:t>Record commercial guardrails without disclosing restricted information.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available budget range or approval ceiling is documented if it is approved for the review team.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Funding timing, fiscal-year limits, option structure, and price-evaluation basis are known or assigned.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Taxes, freight, travel, installation, recurring charges, and contingencies are addressed.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6. Standards and documentation</w:t>
      </w:r>
    </w:p>
    <w:p>
      <w:pPr>
        <w:keepNext/>
      </w:pPr>
      <w:r>
        <w:t>Identify the evidence a response must include.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Applicable specifications, standards, drawings, security rules, or agency instructions are referenced.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Required licenses, insurance, product data, quality records, reports, or certifications are listed only when the requirement calls for them.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Submission format, naming, version control, and review deadlines are clear.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7. Market research</w:t>
      </w:r>
    </w:p>
    <w:p>
      <w:pPr>
        <w:keepNext/>
      </w:pPr>
      <w:r>
        <w:t>Build a useful picture of possible sources and open questions.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Known manufacturers, distributors, service providers, or alternative approaches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Potential sources are screened for apparent capability, capacity, coverage, and response readiness.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Single-source assumptions and market constraints are identified for further review.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Questions for suppliers are organized before outreach.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8. Stakeholders and approvals</w:t>
      </w:r>
    </w:p>
    <w:p>
      <w:pPr>
        <w:keepNext/>
      </w:pPr>
      <w:r>
        <w:t>Make decision authority and review responsibilities explicit.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Program, technical, procurement, budget, legal, security, and end-user reviewers are identified where applicable.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person or body with approval authority is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Required internal reviews and their sequence are documented.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9. Risks, exclusions, and open questions</w:t>
      </w:r>
    </w:p>
    <w:p>
      <w:pPr>
        <w:keepNext/>
      </w:pPr>
      <w:r>
        <w:t>Surface uncertainty before it becomes a scope or schedule problem.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Operational, supply, schedule, performance, compliance, and transition risks are listed.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Explicit exclusions and assumptions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Each open question has an owner and a target resolution date.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2"/>
        <w:keepNext/>
      </w:pPr>
      <w:r>
        <w:t>10. Next-step record</w:t>
      </w:r>
    </w:p>
    <w:p>
      <w:pPr>
        <w:keepNext/>
      </w:pPr>
      <w:r>
        <w:t>Close the intake with one reviewable action plan.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immediate next action, owner, and due date are recorded.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approved audience for the requirement package is stated.</w:t>
      </w:r>
    </w:p>
    <w:p>
      <w:pPr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81219"/>
          <w:sz w:val="21"/>
        </w:rPr>
        <w:t>The date and outcome of the next review are documented.</w:t>
      </w:r>
    </w:p>
    <w:p>
      <w:pPr>
        <w:pStyle w:val="ResponseLine"/>
        <w:pBdr>
          <w:bottom w:val="single" w:sz="6" w:space="4" w:color="D9CDD8"/>
        </w:pBdr>
      </w:pPr>
      <w:r>
        <w:rPr>
          <w:rFonts w:ascii="Calibri" w:hAnsi="Calibri"/>
          <w:i/>
          <w:color w:val="5E565D"/>
          <w:sz w:val="19"/>
        </w:rPr>
        <w:t xml:space="preserve">Notes / evidence / owner:  </w:t>
      </w:r>
    </w:p>
    <w:p>
      <w:pPr>
        <w:pStyle w:val="Heading1"/>
      </w:pPr>
      <w:r>
        <w:t>Decision boundary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This checklist supports requirement organization and market research; it does not replace the buyer's procurement rules, evaluation criteria, or approval authority.</w:t>
      </w:r>
    </w:p>
    <w:p>
      <w:pPr>
        <w:pStyle w:val="ReviewBox"/>
      </w:pPr>
      <w:r>
        <w:rPr>
          <w:rFonts w:ascii="Calibri" w:hAnsi="Calibri"/>
          <w:b/>
          <w:color w:val="181219"/>
          <w:sz w:val="19"/>
        </w:rPr>
        <w:t>Reviewed by the Unparalleled Source Procurement Desk | July 18, 2026</w:t>
        <w:br/>
        <w:t xml:space="preserve">Questions: </w:t>
      </w:r>
      <w:hyperlink r:id="rId13">
        <w:r>
          <w:rPr>
            <w:color w:val="4B0F4E"/>
            <w:u w:val="single"/>
            <w:rFonts w:ascii="Calibri" w:hAnsi="Calibri"/>
          </w:rPr>
          <w:t>unps@unparalleledsource.com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4">
        <w:r>
          <w:rPr>
            <w:color w:val="4B0F4E"/>
            <w:u w:val="single"/>
            <w:rFonts w:ascii="Calibri" w:hAnsi="Calibri"/>
          </w:rPr>
          <w:t>267-206-8170</w:t>
        </w:r>
      </w:hyperlink>
      <w:r>
        <w:rPr>
          <w:rFonts w:ascii="Calibri" w:hAnsi="Calibri"/>
          <w:color w:val="5E565D"/>
          <w:sz w:val="19"/>
        </w:rPr>
        <w:t xml:space="preserve"> | </w:t>
      </w:r>
      <w:hyperlink r:id="rId15">
        <w:r>
          <w:rPr>
            <w:color w:val="4B0F4E"/>
            <w:u w:val="single"/>
            <w:rFonts w:ascii="Calibri" w:hAnsi="Calibri"/>
          </w:rPr>
          <w:t>Government Procurement</w:t>
        </w:r>
      </w:hyperlink>
    </w:p>
    <w:p>
      <w:pPr>
        <w:pStyle w:val="PrivacyNote"/>
      </w:pPr>
      <w:r>
        <w:rPr>
          <w:rFonts w:ascii="Calibri" w:hAnsi="Calibri"/>
          <w:b/>
          <w:color w:val="29052D"/>
          <w:sz w:val="18"/>
        </w:rPr>
        <w:t>Privacy note: Do not include controlled, confidential, export-restricted, health-sensitive, financial-account, or procurement-sensitive information in ordinary website or email submissions.</w:t>
      </w:r>
    </w:p>
    <w:sectPr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5E565D"/>
        <w:sz w:val="17"/>
      </w:rPr>
      <w:t xml:space="preserve">unparalleledsource.com  | 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Calibri" w:hAnsi="Calibri"/>
        <w:color w:val="5E565D"/>
        <w:sz w:val="17"/>
      </w:rPr>
      <w:t xml:space="preserve">unparalleledsource.com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5E565D"/>
        <w:sz w:val="17"/>
      </w:rPr>
      <w:t>UNPARALLELED SOURCE  |  GOVERNMENT PROCUREMENT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/>
        <w:b/>
        <w:color w:val="5E565D"/>
        <w:sz w:val="17"/>
      </w:rPr>
      <w:t>UNPARALLELED SOURCE  |  GOVERNMENT PROCUREMENT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269"/>
        </w:tabs>
        <w:ind w:left="540" w:hanging="271"/>
        <w:spacing w:after="80" w:line="300" w:lineRule="auto"/>
      </w:pPr>
      <w:rPr>
        <w:rFonts w:ascii="Calibri" w:hAnsi="Calibri"/>
        <w:color w:val="BD247F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269"/>
        </w:tabs>
        <w:ind w:left="540" w:hanging="271"/>
        <w:spacing w:after="80" w:line="300" w:lineRule="auto"/>
      </w:pPr>
      <w:rPr>
        <w:rFonts w:ascii="Calibri" w:hAnsi="Calibri"/>
        <w:color w:val="4B0F4E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8121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4B0F4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4B0F4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64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2905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 w:line="240" w:lineRule="auto"/>
    </w:pPr>
    <w:rPr>
      <w:rFonts w:asciiTheme="majorHAnsi" w:eastAsiaTheme="majorEastAsia" w:hAnsiTheme="majorHAnsi" w:cstheme="majorBidi" w:ascii="Calibri" w:hAnsi="Calibri"/>
      <w:b w:val="0"/>
      <w:i/>
      <w:iCs/>
      <w:color w:val="5E565D"/>
      <w:spacing w:val="15"/>
      <w:sz w:val="27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umentTitle">
    <w:name w:val="DocumentTitle"/>
    <w:pPr>
      <w:keepNext/>
      <w:spacing w:before="0" w:after="160" w:line="240" w:lineRule="auto"/>
    </w:pPr>
    <w:rPr>
      <w:rFonts w:ascii="Calibri" w:hAnsi="Calibri"/>
      <w:b/>
      <w:color w:val="4B0F4E"/>
      <w:sz w:val="54"/>
    </w:rPr>
  </w:style>
  <w:style w:type="paragraph" w:customStyle="1" w:styleId="Kicker">
    <w:name w:val="Kicker"/>
    <w:pPr>
      <w:spacing w:before="0" w:after="80" w:line="276" w:lineRule="auto"/>
    </w:pPr>
    <w:rPr>
      <w:rFonts w:ascii="Calibri" w:hAnsi="Calibri"/>
      <w:color w:val="BD247F"/>
      <w:sz w:val="19"/>
    </w:rPr>
  </w:style>
  <w:style w:type="paragraph" w:customStyle="1" w:styleId="Metadata">
    <w:name w:val="Metadata"/>
    <w:pPr>
      <w:spacing w:before="0" w:after="80" w:line="276" w:lineRule="auto"/>
    </w:pPr>
    <w:rPr>
      <w:rFonts w:ascii="Calibri" w:hAnsi="Calibri"/>
      <w:color w:val="5E565D"/>
      <w:sz w:val="19"/>
    </w:rPr>
  </w:style>
  <w:style w:type="paragraph" w:customStyle="1" w:styleId="ReviewBox">
    <w:name w:val="ReviewBox"/>
    <w:pPr>
      <w:spacing w:before="0" w:after="80" w:line="276" w:lineRule="auto"/>
      <w:shd w:fill="F5F1EA"/>
      <w:pBdr>
        <w:left w:val="single" w:sz="20" w:space="8" w:color="D8A63B"/>
      </w:pBdr>
    </w:pPr>
    <w:rPr>
      <w:rFonts w:ascii="Calibri" w:hAnsi="Calibri"/>
      <w:color w:val="181219"/>
      <w:sz w:val="19"/>
    </w:rPr>
  </w:style>
  <w:style w:type="paragraph" w:customStyle="1" w:styleId="PrivacyNote">
    <w:name w:val="PrivacyNote"/>
    <w:pPr>
      <w:spacing w:before="0" w:after="80" w:line="276" w:lineRule="auto"/>
      <w:shd w:fill="F5F1EA"/>
      <w:pBdr>
        <w:left w:val="single" w:sz="20" w:space="8" w:color="D8A63B"/>
      </w:pBdr>
    </w:pPr>
    <w:rPr>
      <w:rFonts w:ascii="Calibri" w:hAnsi="Calibri"/>
      <w:color w:val="29052D"/>
      <w:sz w:val="19"/>
    </w:rPr>
  </w:style>
  <w:style w:type="paragraph" w:customStyle="1" w:styleId="ResponseLine">
    <w:name w:val="ResponseLine"/>
    <w:pPr>
      <w:spacing w:before="0" w:after="80" w:line="276" w:lineRule="auto"/>
    </w:pPr>
    <w:rPr>
      <w:rFonts w:ascii="Calibri" w:hAnsi="Calibri"/>
      <w:color w:val="5E565D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mailto:unps@unparalleledsource.com" TargetMode="External"/><Relationship Id="rId14" Type="http://schemas.openxmlformats.org/officeDocument/2006/relationships/hyperlink" Target="tel:+12672068170" TargetMode="External"/><Relationship Id="rId15" Type="http://schemas.openxmlformats.org/officeDocument/2006/relationships/hyperlink" Target="https://unparalleled-source-procurement.netlify.app/govern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Government Sourcing Requirement Intake Checklist</dc:title>
  <dc:subject>Government Procurement reference resource</dc:subject>
  <dc:creator/>
  <cp:keywords>government procurement, sourcing, checklist, Unparalleled Source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