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</w:pPr>
      <w:r>
        <w:rPr>
          <w:rFonts w:ascii="Calibri" w:hAnsi="Calibri"/>
          <w:b/>
          <w:color w:val="BD247F"/>
          <w:sz w:val="18"/>
        </w:rPr>
        <w:t>GOVERNMENT PROCUREMENT CHECKLIST</w:t>
      </w:r>
    </w:p>
    <w:p>
      <w:pPr>
        <w:pStyle w:val="DocumentTitle"/>
      </w:pPr>
      <w:r>
        <w:rPr>
          <w:rFonts w:ascii="Calibri" w:hAnsi="Calibri"/>
          <w:b/>
          <w:color w:val="4B0F4E"/>
          <w:sz w:val="54"/>
        </w:rPr>
        <w:t>Teaming Readiness Checklist</w:t>
      </w:r>
    </w:p>
    <w:p>
      <w:pPr>
        <w:pStyle w:val="Subtitle"/>
      </w:pPr>
      <w:r>
        <w:rPr>
          <w:rFonts w:ascii="Calibri" w:hAnsi="Calibri"/>
          <w:color w:val="5E565D"/>
          <w:sz w:val="27"/>
        </w:rPr>
        <w:t>A disciplined review before organizations coordinate around an opportunity.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Prepared by: </w:t>
      </w:r>
      <w:r>
        <w:rPr>
          <w:rFonts w:ascii="Calibri" w:hAnsi="Calibri"/>
          <w:color w:val="5E565D"/>
          <w:sz w:val="19"/>
        </w:rPr>
        <w:t>Unparalleled Source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Review status: </w:t>
      </w:r>
      <w:r>
        <w:rPr>
          <w:rFonts w:ascii="Calibri" w:hAnsi="Calibri"/>
          <w:color w:val="5E565D"/>
          <w:sz w:val="19"/>
        </w:rPr>
        <w:t>Reviewed by the Unparalleled Source Procurement Desk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Review date: </w:t>
      </w:r>
      <w:r>
        <w:rPr>
          <w:rFonts w:ascii="Calibri" w:hAnsi="Calibri"/>
          <w:color w:val="5E565D"/>
          <w:sz w:val="19"/>
        </w:rPr>
        <w:t>July 18, 2026</w:t>
      </w:r>
    </w:p>
    <w:p>
      <w:pPr>
        <w:pStyle w:val="Heading1"/>
        <w:keepNext/>
      </w:pPr>
      <w:r>
        <w:t>Purpose</w:t>
      </w:r>
    </w:p>
    <w:p>
      <w:r>
        <w:t>Use this checklist to clarify fit, roles, evidence, responsibilities, and decision boundaries before presenting or pursuing a coordinated delivery approach.</w:t>
      </w:r>
    </w:p>
    <w:p>
      <w:pPr>
        <w:pStyle w:val="Heading2"/>
        <w:keepNext/>
      </w:pPr>
      <w:r>
        <w:t>How to use this checklist</w:t>
      </w:r>
    </w:p>
    <w:p>
      <w:r>
        <w:t>A prime contractor holds the main customer contract or relationship and remains responsible for overall delivery. Teaming means coordinating complementary capabilities for a defined opportunity; it does not by itself create an award, preferred status, or authority to represent another organization.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Reviewed by the Unparalleled Source Procurement Desk | July 18, 2026</w:t>
        <w:br/>
        <w:t xml:space="preserve">Questions: </w:t>
      </w:r>
      <w:hyperlink r:id="rId13">
        <w:r>
          <w:rPr>
            <w:color w:val="4B0F4E"/>
            <w:u w:val="single"/>
            <w:rFonts w:ascii="Calibri" w:hAnsi="Calibri"/>
          </w:rPr>
          <w:t>unps@unparalleledsource.com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4">
        <w:r>
          <w:rPr>
            <w:color w:val="4B0F4E"/>
            <w:u w:val="single"/>
            <w:rFonts w:ascii="Calibri" w:hAnsi="Calibri"/>
          </w:rPr>
          <w:t>267-206-8170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5">
        <w:r>
          <w:rPr>
            <w:color w:val="4B0F4E"/>
            <w:u w:val="single"/>
            <w:rFonts w:ascii="Calibri" w:hAnsi="Calibri"/>
          </w:rPr>
          <w:t>Government Procurement</w:t>
        </w:r>
      </w:hyperlink>
    </w:p>
    <w:p>
      <w:pPr>
        <w:pStyle w:val="PrivacyNote"/>
      </w:pPr>
      <w:r>
        <w:rPr>
          <w:rFonts w:ascii="Calibri" w:hAnsi="Calibri"/>
          <w:b/>
          <w:color w:val="29052D"/>
          <w:sz w:val="18"/>
        </w:rPr>
        <w:t>Privacy note: Do not include controlled, confidential, export-restricted, health-sensitive, financial-account, or procurement-sensitive information in ordinary website or email submissions.</w:t>
      </w:r>
    </w:p>
    <w:p>
      <w:pPr>
        <w:pStyle w:val="Heading2"/>
        <w:keepNext/>
      </w:pPr>
      <w:r>
        <w:t>1. Opportunity fit</w:t>
      </w:r>
    </w:p>
    <w:p>
      <w:pPr>
        <w:keepNext/>
      </w:pPr>
      <w:r>
        <w:t>Confirm that the opportunity is specific enough to evaluate.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customer need, scope, stage, response date, and expected delivery period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Known procurement rules, communication limits, and eligibility requirements are understood by the appropriate owner.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Each organization can explain why its capability is relevant to the defined requirement.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2. Roles and boundaries</w:t>
      </w:r>
    </w:p>
    <w:p>
      <w:pPr>
        <w:keepNext/>
      </w:pPr>
      <w:r>
        <w:t>Make every delivery and customer-facing responsibility explicit.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proposed prime, subcontractor, supplier, coordinator, and customer-owned roles are identified where applicable.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Scope ownership, handoffs, interfaces, and acceptance responsibilities are mapped.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No organization is presented as an approved representative without written authority.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3. Capability evidence</w:t>
      </w:r>
    </w:p>
    <w:p>
      <w:pPr>
        <w:keepNext/>
      </w:pPr>
      <w:r>
        <w:t>Use current evidence that can be reviewed, not unsupported claims.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Relevant services, products, methods, personnel, facilities, or coverage are documented.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source, owner, date, and publication limits for capability evidence are known.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Restricted customer, project, or performance information is withheld unless approved for the specific review.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4. Coverage and capacity</w:t>
      </w:r>
    </w:p>
    <w:p>
      <w:pPr>
        <w:keepNext/>
      </w:pPr>
      <w:r>
        <w:t>Confirm that proposed resources can support the likely timing and geography.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Geographic reach, operating hours, mobilization needs, lead times, and capacity constraints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Key dependencies, backup coverage, surge assumptions, and competing commitments are discussed.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Resource availability is revalidated before a response is submitted or a commitment is made.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5. Licensing and insurance</w:t>
      </w:r>
    </w:p>
    <w:p>
      <w:pPr>
        <w:keepNext/>
      </w:pPr>
      <w:r>
        <w:t>Assign verification to the party responsible for the regulated or insured work.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Applicable professional, trade, facility, or jurisdictional requirements are identified where the scope calls for them.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Evidence type, issuing authority, holder, limits, expiration, and verification owner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No license, insurance, registration, or status is implied when evidence has not been verified.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6. Pricing responsibilities</w:t>
      </w:r>
    </w:p>
    <w:p>
      <w:pPr>
        <w:keepNext/>
      </w:pPr>
      <w:r>
        <w:t>Define who develops, approves, and communicates each commercial element.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Work packages, pricing inputs, assumptions, exclusions, and validity periods are assigned.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Markup, fee, tax, freight, travel, escalation, payment, and change treatment are addressed where applicable.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Only the authorized party communicates binding commercial terms to the customer.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7. Communications and records</w:t>
      </w:r>
    </w:p>
    <w:p>
      <w:pPr>
        <w:keepNext/>
      </w:pPr>
      <w:r>
        <w:t>Keep opportunity information controlled and the coordination path visible.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 primary contact, meeting cadence, document owner, version convention, and response calendar are set.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Customer-contact rules and approval points are understood.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Decisions, open questions, owners, and due dates are maintained in a shared record approved for the team.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8. Confidentiality and information handling</w:t>
      </w:r>
    </w:p>
    <w:p>
      <w:pPr>
        <w:keepNext/>
      </w:pPr>
      <w:r>
        <w:t>Agree how sensitive material will be shared before it is exchanged.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Information categories, permitted recipients, storage location, retention, and return or destruction expectations are discussed.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Required confidentiality terms are reviewed by authorized representatives.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Controlled or procurement-sensitive information is not sent through ordinary forms or email.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9. Conflicts and approvals</w:t>
      </w:r>
    </w:p>
    <w:p>
      <w:pPr>
        <w:keepNext/>
      </w:pPr>
      <w:r>
        <w:t>Surface relationship, eligibility, and representation concerns early.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Potential organizational, contractual, customer, or personnel conflicts are disclosed to the appropriate reviewer.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Internal legal, procurement, finance, security, and leadership approvals are assigned where applicable.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No public announcement, customer reference, logo use, or partner claim is made without approval.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10. Readiness decision</w:t>
      </w:r>
    </w:p>
    <w:p>
      <w:pPr>
        <w:keepNext/>
      </w:pPr>
      <w:r>
        <w:t>Record whether the team is ready to proceed and under what conditions.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decision is proceed, proceed with conditions, hold for evidence, or decline.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Conditions, owners, deadlines, and the next authorized action are documented.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All parties understand that coordination does not guarantee eligibility, selection, award, or future work.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1"/>
      </w:pPr>
      <w:r>
        <w:t>Decision boundary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No guarantee: Using this checklist or contacting Unparalleled Source does not establish eligibility, representation authority, a teaming agreement, an award, or a guaranteed relationship.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Reviewed by the Unparalleled Source Procurement Desk | July 18, 2026</w:t>
        <w:br/>
        <w:t xml:space="preserve">Questions: </w:t>
      </w:r>
      <w:hyperlink r:id="rId13">
        <w:r>
          <w:rPr>
            <w:color w:val="4B0F4E"/>
            <w:u w:val="single"/>
            <w:rFonts w:ascii="Calibri" w:hAnsi="Calibri"/>
          </w:rPr>
          <w:t>unps@unparalleledsource.com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4">
        <w:r>
          <w:rPr>
            <w:color w:val="4B0F4E"/>
            <w:u w:val="single"/>
            <w:rFonts w:ascii="Calibri" w:hAnsi="Calibri"/>
          </w:rPr>
          <w:t>267-206-8170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5">
        <w:r>
          <w:rPr>
            <w:color w:val="4B0F4E"/>
            <w:u w:val="single"/>
            <w:rFonts w:ascii="Calibri" w:hAnsi="Calibri"/>
          </w:rPr>
          <w:t>Government Procurement</w:t>
        </w:r>
      </w:hyperlink>
    </w:p>
    <w:p>
      <w:pPr>
        <w:pStyle w:val="PrivacyNote"/>
      </w:pPr>
      <w:r>
        <w:rPr>
          <w:rFonts w:ascii="Calibri" w:hAnsi="Calibri"/>
          <w:b/>
          <w:color w:val="29052D"/>
          <w:sz w:val="18"/>
        </w:rPr>
        <w:t>Privacy note: Do not include controlled, confidential, export-restricted, health-sensitive, financial-account, or procurement-sensitive information in ordinary website or email submissions.</w:t>
      </w:r>
    </w:p>
    <w:sectPr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5E565D"/>
        <w:sz w:val="17"/>
      </w:rPr>
      <w:t xml:space="preserve">unparalleledsource.com  | 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5E565D"/>
        <w:sz w:val="17"/>
      </w:rPr>
      <w:t xml:space="preserve">unparalleledsource.com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5E565D"/>
        <w:sz w:val="17"/>
      </w:rPr>
      <w:t>UNPARALLELED SOURCE  |  GOVERNMENT PROCUREMENT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5E565D"/>
        <w:sz w:val="17"/>
      </w:rPr>
      <w:t>UNPARALLELED SOURCE  |  GOVERNMENT PROCUREMENT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269"/>
        </w:tabs>
        <w:ind w:left="540" w:hanging="271"/>
        <w:spacing w:after="80" w:line="300" w:lineRule="auto"/>
      </w:pPr>
      <w:rPr>
        <w:rFonts w:ascii="Calibri" w:hAnsi="Calibri"/>
        <w:color w:val="BD247F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269"/>
        </w:tabs>
        <w:ind w:left="540" w:hanging="271"/>
        <w:spacing w:after="80" w:line="300" w:lineRule="auto"/>
      </w:pPr>
      <w:rPr>
        <w:rFonts w:ascii="Calibri" w:hAnsi="Calibri"/>
        <w:color w:val="4B0F4E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8121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4B0F4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4B0F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64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905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 w:line="240" w:lineRule="auto"/>
    </w:pPr>
    <w:rPr>
      <w:rFonts w:asciiTheme="majorHAnsi" w:eastAsiaTheme="majorEastAsia" w:hAnsiTheme="majorHAnsi" w:cstheme="majorBidi" w:ascii="Calibri" w:hAnsi="Calibri"/>
      <w:b w:val="0"/>
      <w:i/>
      <w:iCs/>
      <w:color w:val="5E565D"/>
      <w:spacing w:val="15"/>
      <w:sz w:val="27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Title">
    <w:name w:val="DocumentTitle"/>
    <w:pPr>
      <w:keepNext/>
      <w:spacing w:before="0" w:after="160" w:line="240" w:lineRule="auto"/>
    </w:pPr>
    <w:rPr>
      <w:rFonts w:ascii="Calibri" w:hAnsi="Calibri"/>
      <w:b/>
      <w:color w:val="4B0F4E"/>
      <w:sz w:val="54"/>
    </w:rPr>
  </w:style>
  <w:style w:type="paragraph" w:customStyle="1" w:styleId="Kicker">
    <w:name w:val="Kicker"/>
    <w:pPr>
      <w:spacing w:before="0" w:after="80" w:line="276" w:lineRule="auto"/>
    </w:pPr>
    <w:rPr>
      <w:rFonts w:ascii="Calibri" w:hAnsi="Calibri"/>
      <w:color w:val="BD247F"/>
      <w:sz w:val="19"/>
    </w:rPr>
  </w:style>
  <w:style w:type="paragraph" w:customStyle="1" w:styleId="Metadata">
    <w:name w:val="Metadata"/>
    <w:pPr>
      <w:spacing w:before="0" w:after="80" w:line="276" w:lineRule="auto"/>
    </w:pPr>
    <w:rPr>
      <w:rFonts w:ascii="Calibri" w:hAnsi="Calibri"/>
      <w:color w:val="5E565D"/>
      <w:sz w:val="19"/>
    </w:rPr>
  </w:style>
  <w:style w:type="paragraph" w:customStyle="1" w:styleId="ReviewBox">
    <w:name w:val="ReviewBox"/>
    <w:pPr>
      <w:spacing w:before="0" w:after="80" w:line="276" w:lineRule="auto"/>
      <w:shd w:fill="F5F1EA"/>
      <w:pBdr>
        <w:left w:val="single" w:sz="20" w:space="8" w:color="D8A63B"/>
      </w:pBdr>
    </w:pPr>
    <w:rPr>
      <w:rFonts w:ascii="Calibri" w:hAnsi="Calibri"/>
      <w:color w:val="181219"/>
      <w:sz w:val="19"/>
    </w:rPr>
  </w:style>
  <w:style w:type="paragraph" w:customStyle="1" w:styleId="PrivacyNote">
    <w:name w:val="PrivacyNote"/>
    <w:pPr>
      <w:spacing w:before="0" w:after="80" w:line="276" w:lineRule="auto"/>
      <w:shd w:fill="F5F1EA"/>
      <w:pBdr>
        <w:left w:val="single" w:sz="20" w:space="8" w:color="D8A63B"/>
      </w:pBdr>
    </w:pPr>
    <w:rPr>
      <w:rFonts w:ascii="Calibri" w:hAnsi="Calibri"/>
      <w:color w:val="29052D"/>
      <w:sz w:val="19"/>
    </w:rPr>
  </w:style>
  <w:style w:type="paragraph" w:customStyle="1" w:styleId="ResponseLine">
    <w:name w:val="ResponseLine"/>
    <w:pPr>
      <w:spacing w:before="0" w:after="80" w:line="276" w:lineRule="auto"/>
    </w:pPr>
    <w:rPr>
      <w:rFonts w:ascii="Calibri" w:hAnsi="Calibri"/>
      <w:color w:val="5E565D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mailto:unps@unparalleledsource.com" TargetMode="External"/><Relationship Id="rId14" Type="http://schemas.openxmlformats.org/officeDocument/2006/relationships/hyperlink" Target="tel:+12672068170" TargetMode="External"/><Relationship Id="rId15" Type="http://schemas.openxmlformats.org/officeDocument/2006/relationships/hyperlink" Target="https://unparalleled-source-procurement.netlify.app/govern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Teaming Readiness Checklist</dc:title>
  <dc:subject>Government Procurement reference resource</dc:subject>
  <dc:creator/>
  <cp:keywords>government procurement, sourcing, checklist, Unparalleled Source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