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drawing>
          <wp:inline xmlns:a="http://schemas.openxmlformats.org/drawingml/2006/main" xmlns:pic="http://schemas.openxmlformats.org/drawingml/2006/picture">
            <wp:extent cx="2971800" cy="591264"/>
            <wp:docPr id="1" name="Picture 1"/>
            <wp:cNvGraphicFramePr>
              <a:graphicFrameLocks noChangeAspect="1"/>
            </wp:cNvGraphicFramePr>
            <a:graphic>
              <a:graphicData uri="http://schemas.openxmlformats.org/drawingml/2006/picture">
                <pic:pic>
                  <pic:nvPicPr>
                    <pic:cNvPr id="0" name="wordmark-clean-960.png"/>
                    <pic:cNvPicPr/>
                  </pic:nvPicPr>
                  <pic:blipFill>
                    <a:blip r:embed="rId13"/>
                    <a:stretch>
                      <a:fillRect/>
                    </a:stretch>
                  </pic:blipFill>
                  <pic:spPr>
                    <a:xfrm>
                      <a:off x="0" y="0"/>
                      <a:ext cx="2971800" cy="591264"/>
                    </a:xfrm>
                    <a:prstGeom prst="rect"/>
                  </pic:spPr>
                </pic:pic>
              </a:graphicData>
            </a:graphic>
          </wp:inline>
        </w:drawing>
      </w:r>
    </w:p>
    <w:p>
      <w:pPr>
        <w:pStyle w:val="Kicker"/>
      </w:pPr>
      <w:r>
        <w:rPr>
          <w:rFonts w:ascii="Calibri" w:hAnsi="Calibri"/>
          <w:b/>
          <w:color w:val="BD247F"/>
          <w:sz w:val="18"/>
        </w:rPr>
        <w:t>FEDERAL CAPABILITY STATEMENT</w:t>
      </w:r>
    </w:p>
    <w:p>
      <w:pPr>
        <w:pStyle w:val="DocumentTitle"/>
      </w:pPr>
      <w:r>
        <w:rPr>
          <w:rFonts w:ascii="Calibri" w:hAnsi="Calibri"/>
          <w:b/>
          <w:color w:val="4B0F4E"/>
          <w:sz w:val="54"/>
        </w:rPr>
        <w:t>Government Procurement and Strategic Sourcing</w:t>
      </w:r>
    </w:p>
    <w:p>
      <w:pPr>
        <w:pStyle w:val="Subtitle"/>
      </w:pPr>
      <w:r>
        <w:rPr>
          <w:rFonts w:ascii="Calibri" w:hAnsi="Calibri"/>
          <w:color w:val="5E565D"/>
          <w:sz w:val="27"/>
        </w:rPr>
        <w:t>A clear process for organizing requirements, researching qualified resources, comparing options, and coordinating defined delivery roles.</w:t>
      </w:r>
    </w:p>
    <w:p>
      <w:pPr>
        <w:pStyle w:val="Metadata"/>
      </w:pPr>
      <w:r>
        <w:rPr>
          <w:rFonts w:ascii="Calibri" w:hAnsi="Calibri"/>
          <w:b/>
          <w:color w:val="29052D"/>
          <w:sz w:val="19"/>
        </w:rPr>
        <w:t xml:space="preserve">Prepared by: </w:t>
      </w:r>
      <w:r>
        <w:rPr>
          <w:rFonts w:ascii="Calibri" w:hAnsi="Calibri"/>
          <w:color w:val="5E565D"/>
          <w:sz w:val="19"/>
        </w:rPr>
        <w:t>Unparalleled Source</w:t>
      </w:r>
    </w:p>
    <w:p>
      <w:pPr>
        <w:pStyle w:val="Metadata"/>
      </w:pPr>
      <w:r>
        <w:rPr>
          <w:rFonts w:ascii="Calibri" w:hAnsi="Calibri"/>
          <w:b/>
          <w:color w:val="29052D"/>
          <w:sz w:val="19"/>
        </w:rPr>
        <w:t xml:space="preserve">Review status: </w:t>
      </w:r>
      <w:r>
        <w:rPr>
          <w:rFonts w:ascii="Calibri" w:hAnsi="Calibri"/>
          <w:color w:val="5E565D"/>
          <w:sz w:val="19"/>
        </w:rPr>
        <w:t>Reviewed by Unparalleled Source leadership</w:t>
      </w:r>
    </w:p>
    <w:p>
      <w:pPr>
        <w:pStyle w:val="Metadata"/>
      </w:pPr>
      <w:r>
        <w:rPr>
          <w:rFonts w:ascii="Calibri" w:hAnsi="Calibri"/>
          <w:b/>
          <w:color w:val="29052D"/>
          <w:sz w:val="19"/>
        </w:rPr>
        <w:t xml:space="preserve">Review date: </w:t>
      </w:r>
      <w:r>
        <w:rPr>
          <w:rFonts w:ascii="Calibri" w:hAnsi="Calibri"/>
          <w:color w:val="5E565D"/>
          <w:sz w:val="19"/>
        </w:rPr>
        <w:t>August 20, 2026</w:t>
      </w:r>
    </w:p>
    <w:p>
      <w:pPr>
        <w:pStyle w:val="Heading1"/>
      </w:pPr>
      <w:r>
        <w:t>Federal Contracting Credentials</w:t>
      </w:r>
    </w:p>
    <w:p>
      <w:pPr>
        <w:pStyle w:val="PrivacyNote"/>
      </w:pPr>
      <w:r>
        <w:rPr>
          <w:rFonts w:ascii="Calibri" w:hAnsi="Calibri"/>
          <w:b/>
          <w:color w:val="29052D"/>
          <w:sz w:val="18"/>
        </w:rPr>
        <w:t>SAM.gov registration active effective August 19, 2026. Registration and identifiers confirm the federal offeror record; they are not certifications or endorsements.</w:t>
      </w:r>
    </w:p>
    <w:tbl>
      <w:tblPr>
        <w:tblW w:type="dxa" w:w="9720"/>
        <w:tblLayout w:type="fixed"/>
        <w:tblLook w:firstColumn="1" w:firstRow="1" w:lastColumn="0" w:lastRow="0" w:noHBand="0" w:noVBand="1" w:val="04A0"/>
        <w:tblInd w:w="0" w:type="dxa"/>
      </w:tblPr>
      <w:tblGrid>
        <w:gridCol w:w="4860"/>
        <w:gridCol w:w="4860"/>
      </w:tblGrid>
      <w:tr>
        <w:tc>
          <w:tcPr>
            <w:tcW w:type="dxa" w:w="4860"/>
            <w:tcMar>
              <w:top w:w="70" w:type="dxa"/>
              <w:start w:w="110" w:type="dxa"/>
              <w:bottom w:w="70" w:type="dxa"/>
              <w:end w:w="110" w:type="dxa"/>
            </w:tcMar>
            <w:shd w:fill="F5F1EA"/>
          </w:tcPr>
          <w:p>
            <w:pPr>
              <w:spacing w:after="0" w:line="240" w:lineRule="auto"/>
            </w:pPr>
            <w:r>
              <w:rPr>
                <w:rFonts w:ascii="Calibri" w:hAnsi="Calibri"/>
                <w:b/>
                <w:color w:val="BD247F"/>
                <w:sz w:val="18"/>
              </w:rPr>
              <w:t>Legal Offeror</w:t>
              <w:br/>
            </w:r>
            <w:r>
              <w:rPr>
                <w:rFonts w:ascii="Calibri" w:hAnsi="Calibri"/>
                <w:b/>
                <w:color w:val="29052D"/>
                <w:sz w:val="18"/>
              </w:rPr>
              <w:t>MITYABOWITZ INC, d/b/a Unparalleled Source</w:t>
            </w:r>
          </w:p>
        </w:tc>
        <w:tc>
          <w:tcPr>
            <w:tcW w:type="dxa" w:w="4860"/>
            <w:tcMar>
              <w:top w:w="70" w:type="dxa"/>
              <w:start w:w="110" w:type="dxa"/>
              <w:bottom w:w="70" w:type="dxa"/>
              <w:end w:w="110" w:type="dxa"/>
            </w:tcMar>
            <w:shd w:fill="F5F1EA"/>
          </w:tcPr>
          <w:p>
            <w:pPr>
              <w:spacing w:after="0" w:line="240" w:lineRule="auto"/>
            </w:pPr>
            <w:r>
              <w:rPr>
                <w:rFonts w:ascii="Calibri" w:hAnsi="Calibri"/>
                <w:b/>
                <w:color w:val="BD247F"/>
                <w:sz w:val="18"/>
              </w:rPr>
              <w:t>SAM.gov Registration</w:t>
              <w:br/>
            </w:r>
            <w:r>
              <w:rPr>
                <w:rFonts w:ascii="Calibri" w:hAnsi="Calibri"/>
                <w:b/>
                <w:color w:val="29052D"/>
                <w:sz w:val="18"/>
              </w:rPr>
              <w:t>Active</w:t>
            </w:r>
          </w:p>
        </w:tc>
      </w:tr>
      <w:tr>
        <w:tc>
          <w:tcPr>
            <w:tcW w:type="dxa" w:w="4860"/>
            <w:tcMar>
              <w:top w:w="70" w:type="dxa"/>
              <w:start w:w="110" w:type="dxa"/>
              <w:bottom w:w="70" w:type="dxa"/>
              <w:end w:w="110" w:type="dxa"/>
            </w:tcMar>
            <w:shd w:fill="F5F1EA"/>
          </w:tcPr>
          <w:p>
            <w:pPr>
              <w:spacing w:after="0" w:line="240" w:lineRule="auto"/>
            </w:pPr>
            <w:r>
              <w:rPr>
                <w:rFonts w:ascii="Calibri" w:hAnsi="Calibri"/>
                <w:b/>
                <w:color w:val="BD247F"/>
                <w:sz w:val="18"/>
              </w:rPr>
              <w:t>UEI</w:t>
              <w:br/>
            </w:r>
            <w:r>
              <w:rPr>
                <w:rFonts w:ascii="Calibri" w:hAnsi="Calibri"/>
                <w:b/>
                <w:color w:val="29052D"/>
                <w:sz w:val="18"/>
              </w:rPr>
              <w:t>W5U4ZHE7LBL6</w:t>
            </w:r>
          </w:p>
        </w:tc>
        <w:tc>
          <w:tcPr>
            <w:tcW w:type="dxa" w:w="4860"/>
            <w:tcMar>
              <w:top w:w="70" w:type="dxa"/>
              <w:start w:w="110" w:type="dxa"/>
              <w:bottom w:w="70" w:type="dxa"/>
              <w:end w:w="110" w:type="dxa"/>
            </w:tcMar>
            <w:shd w:fill="F5F1EA"/>
          </w:tcPr>
          <w:p>
            <w:pPr>
              <w:spacing w:after="0" w:line="240" w:lineRule="auto"/>
            </w:pPr>
            <w:r>
              <w:rPr>
                <w:rFonts w:ascii="Calibri" w:hAnsi="Calibri"/>
                <w:b/>
                <w:color w:val="BD247F"/>
                <w:sz w:val="18"/>
              </w:rPr>
              <w:t>CAGE Code</w:t>
              <w:br/>
            </w:r>
            <w:r>
              <w:rPr>
                <w:rFonts w:ascii="Calibri" w:hAnsi="Calibri"/>
                <w:b/>
                <w:color w:val="29052D"/>
                <w:sz w:val="18"/>
              </w:rPr>
              <w:t>8V949</w:t>
            </w:r>
          </w:p>
        </w:tc>
      </w:tr>
      <w:tr>
        <w:tc>
          <w:tcPr>
            <w:tcW w:type="dxa" w:w="4860"/>
            <w:tcMar>
              <w:top w:w="70" w:type="dxa"/>
              <w:start w:w="110" w:type="dxa"/>
              <w:bottom w:w="70" w:type="dxa"/>
              <w:end w:w="110" w:type="dxa"/>
            </w:tcMar>
            <w:shd w:fill="F5F1EA"/>
          </w:tcPr>
          <w:p>
            <w:pPr>
              <w:spacing w:after="0" w:line="240" w:lineRule="auto"/>
            </w:pPr>
            <w:r>
              <w:rPr>
                <w:rFonts w:ascii="Calibri" w:hAnsi="Calibri"/>
                <w:b/>
                <w:color w:val="BD247F"/>
                <w:sz w:val="18"/>
              </w:rPr>
              <w:t>Business Address</w:t>
              <w:br/>
            </w:r>
            <w:r>
              <w:rPr>
                <w:rFonts w:ascii="Calibri" w:hAnsi="Calibri"/>
                <w:b/>
                <w:color w:val="29052D"/>
                <w:sz w:val="18"/>
              </w:rPr>
              <w:t>6 East Golf Club Lane, Paoli, PA 19301</w:t>
            </w:r>
          </w:p>
        </w:tc>
        <w:tc>
          <w:tcPr>
            <w:tcW w:type="dxa" w:w="4860"/>
            <w:tcMar>
              <w:top w:w="70" w:type="dxa"/>
              <w:start w:w="110" w:type="dxa"/>
              <w:bottom w:w="70" w:type="dxa"/>
              <w:end w:w="110" w:type="dxa"/>
            </w:tcMar>
            <w:shd w:fill="F5F1EA"/>
          </w:tcPr>
          <w:p>
            <w:pPr>
              <w:spacing w:after="0" w:line="240" w:lineRule="auto"/>
            </w:pPr>
            <w:r>
              <w:rPr>
                <w:rFonts w:ascii="Calibri" w:hAnsi="Calibri"/>
                <w:b/>
                <w:color w:val="BD247F"/>
                <w:sz w:val="18"/>
              </w:rPr>
              <w:t>Authorized Signer</w:t>
              <w:br/>
            </w:r>
            <w:r>
              <w:rPr>
                <w:rFonts w:ascii="Calibri" w:hAnsi="Calibri"/>
                <w:b/>
                <w:color w:val="29052D"/>
                <w:sz w:val="18"/>
              </w:rPr>
              <w:t>Alexei Mityakov Leibowitz, Managing Director</w:t>
            </w:r>
          </w:p>
        </w:tc>
      </w:tr>
    </w:tbl>
    <w:p>
      <w:pPr>
        <w:pStyle w:val="Heading1"/>
      </w:pPr>
      <w:r>
        <w:t>Who we are</w:t>
      </w:r>
    </w:p>
    <w:p>
      <w:r>
        <w:t>Unparalleled Source helps public agencies, educational institutions, prime contractors, manufacturers, distributors, and specialty vendors organize requirements, research the market, compare responses, and coordinate qualified resources. Work may be direct, sourced, partner-supported, or mixed, and each delivery role is stated for the opportunity.</w:t>
      </w:r>
    </w:p>
    <w:p>
      <w:r>
        <w:t>MITYABOWITZ INC is the legal business name for the federal offeror operating under the Unparalleled Source brand.</w:t>
      </w:r>
    </w:p>
    <w:p>
      <w:pPr>
        <w:pStyle w:val="Heading1"/>
      </w:pPr>
      <w:r>
        <w:t>Government procurement support</w:t>
      </w:r>
    </w:p>
    <w:p>
      <w:pPr>
        <w:keepNext/>
      </w:pPr>
      <w:r>
        <w:t>Support is organized around the documented requirement and the decision the customer or delivery team needs to make.</w:t>
      </w:r>
    </w:p>
    <w:p>
      <w:pPr>
        <w:spacing w:after="40" w:line="252" w:lineRule="auto"/>
        <w:numPr>
          <w:ilvl w:val="0"/>
          <w:numId w:val="10"/>
        </w:numPr>
      </w:pPr>
      <w:r>
        <w:rPr>
          <w:rFonts w:ascii="Calibri" w:hAnsi="Calibri"/>
          <w:color w:val="181219"/>
          <w:sz w:val="18"/>
        </w:rPr>
        <w:t>Requirement and specification organization</w:t>
      </w:r>
    </w:p>
    <w:p>
      <w:pPr>
        <w:spacing w:after="40" w:line="252" w:lineRule="auto"/>
        <w:numPr>
          <w:ilvl w:val="0"/>
          <w:numId w:val="10"/>
        </w:numPr>
      </w:pPr>
      <w:r>
        <w:rPr>
          <w:rFonts w:ascii="Calibri" w:hAnsi="Calibri"/>
          <w:color w:val="181219"/>
          <w:sz w:val="18"/>
        </w:rPr>
        <w:t>Supplier and market research</w:t>
      </w:r>
    </w:p>
    <w:p>
      <w:pPr>
        <w:spacing w:after="40" w:line="252" w:lineRule="auto"/>
        <w:numPr>
          <w:ilvl w:val="0"/>
          <w:numId w:val="10"/>
        </w:numPr>
      </w:pPr>
      <w:r>
        <w:rPr>
          <w:rFonts w:ascii="Calibri" w:hAnsi="Calibri"/>
          <w:color w:val="181219"/>
          <w:sz w:val="18"/>
        </w:rPr>
        <w:t>Qualification summaries and open-verification tracking</w:t>
      </w:r>
    </w:p>
    <w:p>
      <w:pPr>
        <w:spacing w:after="40" w:line="252" w:lineRule="auto"/>
        <w:numPr>
          <w:ilvl w:val="0"/>
          <w:numId w:val="10"/>
        </w:numPr>
      </w:pPr>
      <w:r>
        <w:rPr>
          <w:rFonts w:ascii="Calibri" w:hAnsi="Calibri"/>
          <w:color w:val="181219"/>
          <w:sz w:val="18"/>
        </w:rPr>
        <w:t>Quote and proposal comparison, including scope-gap review</w:t>
      </w:r>
    </w:p>
    <w:p>
      <w:pPr>
        <w:spacing w:after="40" w:line="252" w:lineRule="auto"/>
        <w:numPr>
          <w:ilvl w:val="0"/>
          <w:numId w:val="10"/>
        </w:numPr>
      </w:pPr>
      <w:r>
        <w:rPr>
          <w:rFonts w:ascii="Calibri" w:hAnsi="Calibri"/>
          <w:color w:val="181219"/>
          <w:sz w:val="18"/>
        </w:rPr>
        <w:t>Delivery-role mapping and teaming coordination</w:t>
      </w:r>
    </w:p>
    <w:p>
      <w:pPr>
        <w:spacing w:after="40" w:line="252" w:lineRule="auto"/>
        <w:numPr>
          <w:ilvl w:val="0"/>
          <w:numId w:val="10"/>
        </w:numPr>
      </w:pPr>
      <w:r>
        <w:rPr>
          <w:rFonts w:ascii="Calibri" w:hAnsi="Calibri"/>
          <w:color w:val="181219"/>
          <w:sz w:val="18"/>
        </w:rPr>
        <w:t>Decision, question, and next-action records</w:t>
      </w:r>
    </w:p>
    <w:p>
      <w:pPr>
        <w:pStyle w:val="Heading1"/>
      </w:pPr>
      <w:r>
        <w:t>Who the process supports</w:t>
      </w:r>
    </w:p>
    <w:p>
      <w:pPr>
        <w:keepNext/>
      </w:pPr>
      <w:r>
        <w:t>The same structured method can support different responsibilities across a public-sector opportunity.</w:t>
      </w:r>
    </w:p>
    <w:p>
      <w:pPr>
        <w:spacing w:after="40" w:line="252" w:lineRule="auto"/>
        <w:numPr>
          <w:ilvl w:val="0"/>
          <w:numId w:val="10"/>
        </w:numPr>
      </w:pPr>
      <w:r>
        <w:rPr>
          <w:rFonts w:ascii="Calibri" w:hAnsi="Calibri"/>
          <w:color w:val="181219"/>
          <w:sz w:val="18"/>
        </w:rPr>
        <w:t>Government and education buyers organizing requirements and market research</w:t>
      </w:r>
    </w:p>
    <w:p>
      <w:pPr>
        <w:spacing w:after="40" w:line="252" w:lineRule="auto"/>
        <w:numPr>
          <w:ilvl w:val="0"/>
          <w:numId w:val="10"/>
        </w:numPr>
      </w:pPr>
      <w:r>
        <w:rPr>
          <w:rFonts w:ascii="Calibri" w:hAnsi="Calibri"/>
          <w:color w:val="181219"/>
          <w:sz w:val="18"/>
        </w:rPr>
        <w:t>Prime contractors researching or coordinating supporting capacity</w:t>
      </w:r>
    </w:p>
    <w:p>
      <w:pPr>
        <w:spacing w:after="40" w:line="252" w:lineRule="auto"/>
        <w:numPr>
          <w:ilvl w:val="0"/>
          <w:numId w:val="10"/>
        </w:numPr>
      </w:pPr>
      <w:r>
        <w:rPr>
          <w:rFonts w:ascii="Calibri" w:hAnsi="Calibri"/>
          <w:color w:val="181219"/>
          <w:sz w:val="18"/>
        </w:rPr>
        <w:t>Manufacturers and distributors presenting product and fulfillment capability</w:t>
      </w:r>
    </w:p>
    <w:p>
      <w:pPr>
        <w:spacing w:after="40" w:line="252" w:lineRule="auto"/>
        <w:numPr>
          <w:ilvl w:val="0"/>
          <w:numId w:val="10"/>
        </w:numPr>
      </w:pPr>
      <w:r>
        <w:rPr>
          <w:rFonts w:ascii="Calibri" w:hAnsi="Calibri"/>
          <w:color w:val="181219"/>
          <w:sz w:val="18"/>
        </w:rPr>
        <w:t>Specialty vendors and subcontractors presenting focused delivery roles</w:t>
      </w:r>
    </w:p>
    <w:p>
      <w:r>
        <w:br w:type="page"/>
      </w:r>
    </w:p>
    <w:p>
      <w:pPr>
        <w:pStyle w:val="Heading1"/>
      </w:pPr>
      <w:r>
        <w:t>Delivery model</w:t>
      </w:r>
    </w:p>
    <w:p>
      <w:pPr>
        <w:keepNext/>
      </w:pPr>
      <w:r>
        <w:t>Each assignment identifies how the work will be performed and avoids implying that specialist or supplier work is performed directly when it is not.</w:t>
      </w:r>
    </w:p>
    <w:p>
      <w:pPr>
        <w:spacing w:after="40" w:line="252" w:lineRule="auto"/>
        <w:numPr>
          <w:ilvl w:val="0"/>
          <w:numId w:val="10"/>
        </w:numPr>
      </w:pPr>
      <w:r>
        <w:rPr>
          <w:rFonts w:ascii="Calibri" w:hAnsi="Calibri"/>
          <w:color w:val="181219"/>
          <w:sz w:val="18"/>
        </w:rPr>
        <w:t>Direct: Unparalleled Source performs the procurement-support activity.</w:t>
      </w:r>
    </w:p>
    <w:p>
      <w:pPr>
        <w:spacing w:after="40" w:line="252" w:lineRule="auto"/>
        <w:numPr>
          <w:ilvl w:val="0"/>
          <w:numId w:val="10"/>
        </w:numPr>
      </w:pPr>
      <w:r>
        <w:rPr>
          <w:rFonts w:ascii="Calibri" w:hAnsi="Calibri"/>
          <w:color w:val="181219"/>
          <w:sz w:val="18"/>
        </w:rPr>
        <w:t>Sourced: A selected manufacturer, distributor, carrier, or service provider performs fulfillment.</w:t>
      </w:r>
    </w:p>
    <w:p>
      <w:pPr>
        <w:spacing w:after="40" w:line="252" w:lineRule="auto"/>
        <w:numPr>
          <w:ilvl w:val="0"/>
          <w:numId w:val="10"/>
        </w:numPr>
      </w:pPr>
      <w:r>
        <w:rPr>
          <w:rFonts w:ascii="Calibri" w:hAnsi="Calibri"/>
          <w:color w:val="181219"/>
          <w:sz w:val="18"/>
        </w:rPr>
        <w:t>Partner-supported: A qualified specialist performs technical, regulated, field, or trade work.</w:t>
      </w:r>
    </w:p>
    <w:p>
      <w:pPr>
        <w:spacing w:after="40" w:line="252" w:lineRule="auto"/>
        <w:numPr>
          <w:ilvl w:val="0"/>
          <w:numId w:val="10"/>
        </w:numPr>
      </w:pPr>
      <w:r>
        <w:rPr>
          <w:rFonts w:ascii="Calibri" w:hAnsi="Calibri"/>
          <w:color w:val="181219"/>
          <w:sz w:val="18"/>
        </w:rPr>
        <w:t>Mixed: The assignment uses more than one of these approaches with responsibilities recorded.</w:t>
      </w:r>
    </w:p>
    <w:p>
      <w:pPr>
        <w:pStyle w:val="Heading1"/>
      </w:pPr>
      <w:r>
        <w:t>A clear path from requirement to delivery</w:t>
      </w:r>
    </w:p>
    <w:p>
      <w:pPr>
        <w:spacing w:after="40" w:line="252" w:lineRule="auto"/>
        <w:numPr>
          <w:ilvl w:val="0"/>
          <w:numId w:val="11"/>
        </w:numPr>
      </w:pPr>
      <w:r>
        <w:rPr>
          <w:rFonts w:ascii="Calibri" w:hAnsi="Calibri"/>
          <w:color w:val="181219"/>
          <w:sz w:val="18"/>
        </w:rPr>
        <w:t>Define the requirement and decision rules.</w:t>
      </w:r>
    </w:p>
    <w:p>
      <w:pPr>
        <w:spacing w:after="40" w:line="252" w:lineRule="auto"/>
        <w:numPr>
          <w:ilvl w:val="0"/>
          <w:numId w:val="11"/>
        </w:numPr>
      </w:pPr>
      <w:r>
        <w:rPr>
          <w:rFonts w:ascii="Calibri" w:hAnsi="Calibri"/>
          <w:color w:val="181219"/>
          <w:sz w:val="18"/>
        </w:rPr>
        <w:t>Build context around stakeholders, constraints, and open questions.</w:t>
      </w:r>
    </w:p>
    <w:p>
      <w:pPr>
        <w:spacing w:after="40" w:line="252" w:lineRule="auto"/>
        <w:numPr>
          <w:ilvl w:val="0"/>
          <w:numId w:val="11"/>
        </w:numPr>
      </w:pPr>
      <w:r>
        <w:rPr>
          <w:rFonts w:ascii="Calibri" w:hAnsi="Calibri"/>
          <w:color w:val="181219"/>
          <w:sz w:val="18"/>
        </w:rPr>
        <w:t>Research potential suppliers and delivery resources.</w:t>
      </w:r>
    </w:p>
    <w:p>
      <w:pPr>
        <w:spacing w:after="40" w:line="252" w:lineRule="auto"/>
        <w:numPr>
          <w:ilvl w:val="0"/>
          <w:numId w:val="11"/>
        </w:numPr>
      </w:pPr>
      <w:r>
        <w:rPr>
          <w:rFonts w:ascii="Calibri" w:hAnsi="Calibri"/>
          <w:color w:val="181219"/>
          <w:sz w:val="18"/>
        </w:rPr>
        <w:t>Review apparent capability, capacity, coverage, and readiness.</w:t>
      </w:r>
    </w:p>
    <w:p>
      <w:pPr>
        <w:spacing w:after="40" w:line="252" w:lineRule="auto"/>
        <w:numPr>
          <w:ilvl w:val="0"/>
          <w:numId w:val="11"/>
        </w:numPr>
      </w:pPr>
      <w:r>
        <w:rPr>
          <w:rFonts w:ascii="Calibri" w:hAnsi="Calibri"/>
          <w:color w:val="181219"/>
          <w:sz w:val="18"/>
        </w:rPr>
        <w:t>Normalize responses into a consistent comparison view.</w:t>
      </w:r>
    </w:p>
    <w:p>
      <w:pPr>
        <w:spacing w:after="40" w:line="252" w:lineRule="auto"/>
        <w:numPr>
          <w:ilvl w:val="0"/>
          <w:numId w:val="11"/>
        </w:numPr>
      </w:pPr>
      <w:r>
        <w:rPr>
          <w:rFonts w:ascii="Calibri" w:hAnsi="Calibri"/>
          <w:color w:val="181219"/>
          <w:sz w:val="18"/>
        </w:rPr>
        <w:t>Define complementary roles and handoffs.</w:t>
      </w:r>
    </w:p>
    <w:p>
      <w:pPr>
        <w:spacing w:after="40" w:line="252" w:lineRule="auto"/>
        <w:numPr>
          <w:ilvl w:val="0"/>
          <w:numId w:val="11"/>
        </w:numPr>
      </w:pPr>
      <w:r>
        <w:rPr>
          <w:rFonts w:ascii="Calibri" w:hAnsi="Calibri"/>
          <w:color w:val="181219"/>
          <w:sz w:val="18"/>
        </w:rPr>
        <w:t>Document scope gaps, risks, tradeoffs, and next actions.</w:t>
      </w:r>
    </w:p>
    <w:p>
      <w:pPr>
        <w:spacing w:after="40" w:line="252" w:lineRule="auto"/>
        <w:numPr>
          <w:ilvl w:val="0"/>
          <w:numId w:val="11"/>
        </w:numPr>
      </w:pPr>
      <w:r>
        <w:rPr>
          <w:rFonts w:ascii="Calibri" w:hAnsi="Calibri"/>
          <w:color w:val="181219"/>
          <w:sz w:val="18"/>
        </w:rPr>
        <w:t>Coordinate questions, owners, and timing across the selected path.</w:t>
      </w:r>
    </w:p>
    <w:p>
      <w:pPr>
        <w:pStyle w:val="Heading1"/>
      </w:pPr>
      <w:r>
        <w:t>Role boundary</w:t>
      </w:r>
    </w:p>
    <w:p>
      <w:r>
        <w:t>Unparalleled Source provides procurement organization, market research, comparison, and coordination support. Products are supplied by selected sources, and technical, regulated, field, or trade work is performed by the responsible qualified provider when the assignment requires it.</w:t>
      </w:r>
    </w:p>
    <w:p>
      <w:pPr>
        <w:pStyle w:val="ReviewBox"/>
        <w:keepLines/>
      </w:pPr>
      <w:r>
        <w:rPr>
          <w:rFonts w:ascii="Calibri" w:hAnsi="Calibri"/>
          <w:b/>
          <w:color w:val="181219"/>
          <w:sz w:val="19"/>
        </w:rPr>
        <w:t>Reviewed by Unparalleled Source leadership | August 20, 2026</w:t>
        <w:br/>
        <w:t xml:space="preserve">Questions: </w:t>
      </w:r>
      <w:hyperlink r:id="rId14">
        <w:r>
          <w:rPr>
            <w:color w:val="4B0F4E"/>
            <w:u w:val="single"/>
            <w:rFonts w:ascii="Calibri" w:hAnsi="Calibri"/>
          </w:rPr>
          <w:t>unps@unparalleledsource.com</w:t>
        </w:r>
      </w:hyperlink>
      <w:r>
        <w:rPr>
          <w:rFonts w:ascii="Calibri" w:hAnsi="Calibri"/>
          <w:color w:val="5E565D"/>
          <w:sz w:val="19"/>
        </w:rPr>
        <w:t xml:space="preserve"> | </w:t>
      </w:r>
      <w:hyperlink r:id="rId15">
        <w:r>
          <w:rPr>
            <w:color w:val="4B0F4E"/>
            <w:u w:val="single"/>
            <w:rFonts w:ascii="Calibri" w:hAnsi="Calibri"/>
          </w:rPr>
          <w:t>267-206-8170</w:t>
        </w:r>
      </w:hyperlink>
      <w:r>
        <w:rPr>
          <w:rFonts w:ascii="Calibri" w:hAnsi="Calibri"/>
          <w:color w:val="5E565D"/>
          <w:sz w:val="19"/>
        </w:rPr>
        <w:t xml:space="preserve"> | </w:t>
      </w:r>
      <w:hyperlink r:id="rId16">
        <w:r>
          <w:rPr>
            <w:color w:val="4B0F4E"/>
            <w:u w:val="single"/>
            <w:rFonts w:ascii="Calibri" w:hAnsi="Calibri"/>
          </w:rPr>
          <w:t>Government Procurement</w:t>
        </w:r>
      </w:hyperlink>
      <w:r>
        <w:rPr>
          <w:rFonts w:ascii="Calibri" w:hAnsi="Calibri"/>
          <w:b/>
          <w:color w:val="29052D"/>
          <w:sz w:val="18"/>
        </w:rPr>
        <w:br/>
        <w:t>Privacy note: Do not include controlled, confidential, export-restricted, health-sensitive, financial-account, or procurement-sensitive information in ordinary website or email submissions.</w:t>
      </w:r>
    </w:p>
    <w:sectPr w:rsidR="00FC693F" w:rsidRPr="0006063C" w:rsidSect="00034616">
      <w:headerReference w:type="default" r:id="rId9"/>
      <w:headerReference w:type="even" r:id="rId10"/>
      <w:footerReference w:type="default" r:id="rId11"/>
      <w:footerReference w:type="even" r:id="rId12"/>
      <w:pgSz w:w="12240" w:h="15840"/>
      <w:pgMar w:top="893" w:right="979" w:bottom="893" w:left="979"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5E565D"/>
        <w:sz w:val="17"/>
      </w:rPr>
      <w:t xml:space="preserve">unparalleledsource.com  |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5E565D"/>
        <w:sz w:val="17"/>
      </w:rPr>
      <w:t xml:space="preserve">unparalleledsource.com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E565D"/>
        <w:sz w:val="17"/>
      </w:rPr>
      <w:t>UNPARALLELED SOURCE  |  GOVERNMENT PROCUREMENT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E565D"/>
        <w:sz w:val="17"/>
      </w:rPr>
      <w:t>UNPARALLELED SOURCE  |  GOVERNMENT PROCUREMENT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269"/>
        </w:tabs>
        <w:ind w:left="540" w:hanging="271"/>
        <w:spacing w:after="80" w:line="300" w:lineRule="auto"/>
      </w:pPr>
      <w:rPr>
        <w:rFonts w:ascii="Calibri" w:hAnsi="Calibri"/>
        <w:color w:val="BD247F"/>
      </w:rPr>
    </w:lvl>
  </w:abstractNum>
  <w:num w:numId="10">
    <w:abstractNumId w:val="9"/>
  </w:num>
  <w:abstractNum w:abstractNumId="10">
    <w:multiLevelType w:val="singleLevel"/>
    <w:lvl w:ilvl="0">
      <w:start w:val="1"/>
      <w:numFmt w:val="decimal"/>
      <w:lvlText w:val="%1."/>
      <w:lvlJc w:val="left"/>
      <w:pPr>
        <w:tabs>
          <w:tab w:val="num" w:pos="269"/>
        </w:tabs>
        <w:ind w:left="540" w:hanging="271"/>
        <w:spacing w:after="80" w:line="300" w:lineRule="auto"/>
      </w:pPr>
      <w:rPr>
        <w:rFonts w:ascii="Calibri" w:hAnsi="Calibri"/>
        <w:color w:val="4B0F4E"/>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0" w:line="252" w:lineRule="auto"/>
    </w:pPr>
    <w:rPr>
      <w:rFonts w:ascii="Calibri" w:hAnsi="Calibri"/>
      <w:color w:val="181219"/>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line="264" w:lineRule="auto"/>
      <w:outlineLvl w:val="0"/>
    </w:pPr>
    <w:rPr>
      <w:rFonts w:asciiTheme="majorHAnsi" w:eastAsiaTheme="majorEastAsia" w:hAnsiTheme="majorHAnsi" w:cstheme="majorBidi" w:ascii="Calibri" w:hAnsi="Calibri"/>
      <w:b/>
      <w:bCs/>
      <w:color w:val="4B0F4E"/>
      <w:sz w:val="25"/>
      <w:szCs w:val="28"/>
    </w:rPr>
  </w:style>
  <w:style w:type="paragraph" w:styleId="Heading2">
    <w:name w:val="heading 2"/>
    <w:basedOn w:val="Normal"/>
    <w:next w:val="Normal"/>
    <w:link w:val="Heading2Char"/>
    <w:uiPriority w:val="9"/>
    <w:unhideWhenUsed/>
    <w:qFormat/>
    <w:rsid w:val="00FC693F"/>
    <w:pPr>
      <w:keepNext/>
      <w:keepLines/>
      <w:spacing w:before="280" w:after="140" w:line="264" w:lineRule="auto"/>
      <w:outlineLvl w:val="1"/>
    </w:pPr>
    <w:rPr>
      <w:rFonts w:asciiTheme="majorHAnsi" w:eastAsiaTheme="majorEastAsia" w:hAnsiTheme="majorHAnsi" w:cstheme="majorBidi" w:ascii="Calibri" w:hAnsi="Calibri"/>
      <w:b/>
      <w:bCs/>
      <w:color w:val="4B0F4E"/>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64" w:lineRule="auto"/>
      <w:outlineLvl w:val="2"/>
    </w:pPr>
    <w:rPr>
      <w:rFonts w:asciiTheme="majorHAnsi" w:eastAsiaTheme="majorEastAsia" w:hAnsiTheme="majorHAnsi" w:cstheme="majorBidi" w:ascii="Calibri" w:hAnsi="Calibri"/>
      <w:b/>
      <w:bCs/>
      <w:color w:val="29052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20" w:line="240" w:lineRule="auto"/>
    </w:pPr>
    <w:rPr>
      <w:rFonts w:asciiTheme="majorHAnsi" w:eastAsiaTheme="majorEastAsia" w:hAnsiTheme="majorHAnsi" w:cstheme="majorBidi" w:ascii="Calibri" w:hAnsi="Calibri"/>
      <w:b w:val="0"/>
      <w:i/>
      <w:iCs/>
      <w:color w:val="5E565D"/>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umentTitle">
    <w:name w:val="DocumentTitle"/>
    <w:pPr>
      <w:keepNext/>
      <w:spacing w:before="0" w:after="80" w:line="240" w:lineRule="auto"/>
    </w:pPr>
    <w:rPr>
      <w:rFonts w:ascii="Calibri" w:hAnsi="Calibri"/>
      <w:b/>
      <w:color w:val="4B0F4E"/>
      <w:sz w:val="42"/>
    </w:rPr>
  </w:style>
  <w:style w:type="paragraph" w:customStyle="1" w:styleId="Kicker">
    <w:name w:val="Kicker"/>
    <w:pPr>
      <w:spacing w:before="0" w:after="80" w:line="276" w:lineRule="auto"/>
    </w:pPr>
    <w:rPr>
      <w:rFonts w:ascii="Calibri" w:hAnsi="Calibri"/>
      <w:color w:val="BD247F"/>
      <w:sz w:val="19"/>
    </w:rPr>
  </w:style>
  <w:style w:type="paragraph" w:customStyle="1" w:styleId="Metadata">
    <w:name w:val="Metadata"/>
    <w:pPr>
      <w:spacing w:before="0" w:after="20" w:line="276" w:lineRule="auto"/>
    </w:pPr>
    <w:rPr>
      <w:rFonts w:ascii="Calibri" w:hAnsi="Calibri"/>
      <w:color w:val="5E565D"/>
      <w:sz w:val="17"/>
    </w:rPr>
  </w:style>
  <w:style w:type="paragraph" w:customStyle="1" w:styleId="ReviewBox">
    <w:name w:val="ReviewBox"/>
    <w:pPr>
      <w:spacing w:before="0" w:after="80" w:line="276" w:lineRule="auto"/>
      <w:shd w:fill="F5F1EA"/>
      <w:pBdr>
        <w:left w:val="single" w:sz="20" w:space="8" w:color="D8A63B"/>
      </w:pBdr>
    </w:pPr>
    <w:rPr>
      <w:rFonts w:ascii="Calibri" w:hAnsi="Calibri"/>
      <w:color w:val="181219"/>
      <w:sz w:val="19"/>
    </w:rPr>
  </w:style>
  <w:style w:type="paragraph" w:customStyle="1" w:styleId="PrivacyNote">
    <w:name w:val="PrivacyNote"/>
    <w:pPr>
      <w:spacing w:before="0" w:after="80" w:line="276" w:lineRule="auto"/>
      <w:shd w:fill="F5F1EA"/>
      <w:pBdr>
        <w:left w:val="single" w:sz="20" w:space="8" w:color="D8A63B"/>
      </w:pBdr>
    </w:pPr>
    <w:rPr>
      <w:rFonts w:ascii="Calibri" w:hAnsi="Calibri"/>
      <w:color w:val="29052D"/>
      <w:sz w:val="19"/>
    </w:rPr>
  </w:style>
  <w:style w:type="paragraph" w:customStyle="1" w:styleId="ResponseLine">
    <w:name w:val="ResponseLine"/>
    <w:pPr>
      <w:spacing w:before="0" w:after="80" w:line="276" w:lineRule="auto"/>
    </w:pPr>
    <w:rPr>
      <w:rFonts w:ascii="Calibri" w:hAnsi="Calibri"/>
      <w:color w:val="5E565D"/>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mailto:unps@unparalleledsource.com" TargetMode="External"/><Relationship Id="rId15" Type="http://schemas.openxmlformats.org/officeDocument/2006/relationships/hyperlink" Target="tel:+12672068170" TargetMode="External"/><Relationship Id="rId16" Type="http://schemas.openxmlformats.org/officeDocument/2006/relationships/hyperlink" Target="https://unparalleledsource.com/gover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Unparalleled Source Federal Capability Statement</dc:title>
  <dc:subject>Government Procurement reference resource</dc:subject>
  <dc:creator/>
  <cp:keywords>government procurement, sourcing, checklist, Unparalleled Source</cp:keywords>
  <dc:description>generated by python-docx</dc:description>
  <cp:lastModifiedBy/>
  <cp:revision>1</cp:revision>
  <dcterms:created xsi:type="dcterms:W3CDTF">2013-12-23T23:15:00Z</dcterms:created>
  <dcterms:modified xsi:type="dcterms:W3CDTF">2013-12-23T23:15:00Z</dcterms:modified>
  <cp:category/>
</cp:coreProperties>
</file>